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40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Паспорт инновационного проекта</w:t>
      </w:r>
    </w:p>
    <w:tbl>
      <w:tblPr>
        <w:tblW w:w="14195" w:type="dxa"/>
        <w:jc w:val="center"/>
        <w:tblInd w:w="0" w:type="dxa"/>
        <w:tblLayout w:type="fixed"/>
        <w:tblCellMar>
          <w:top w:w="0" w:type="dxa"/>
          <w:left w:w="98" w:type="dxa"/>
          <w:bottom w:w="0" w:type="dxa"/>
          <w:right w:w="108" w:type="dxa"/>
        </w:tblCellMar>
      </w:tblPr>
      <w:tblGrid>
        <w:gridCol w:w="3000"/>
        <w:gridCol w:w="11195"/>
      </w:tblGrid>
      <w:tr>
        <w:trPr/>
        <w:tc>
          <w:tcPr>
            <w:tcW w:w="3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Тема инновационного проекта</w:t>
            </w:r>
          </w:p>
        </w:tc>
        <w:tc>
          <w:tcPr>
            <w:tcW w:w="111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Модель деятельности организации для детей-сирот и детей, оставшихся без попечения родителей, по выявлению несовершеннолетних граждан, нуждающихся в установлении над ними опеки и попечительства</w:t>
            </w:r>
          </w:p>
        </w:tc>
      </w:tr>
      <w:tr>
        <w:trPr/>
        <w:tc>
          <w:tcPr>
            <w:tcW w:w="3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Руководитель инновационного проекта</w:t>
            </w:r>
          </w:p>
        </w:tc>
        <w:tc>
          <w:tcPr>
            <w:tcW w:w="111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1"/>
            <w:bookmarkEnd w:id="0"/>
            <w:r>
              <w:rPr>
                <w:rFonts w:cs="Times New Roman" w:ascii="Times New Roman" w:hAnsi="Times New Roman"/>
                <w:sz w:val="24"/>
                <w:szCs w:val="24"/>
              </w:rPr>
              <w:t>Бабуков Константин Валерьевич, директор МКУ «Центр содействия семейному устройству детей «Радуга» Юргинского городского округа</w:t>
            </w:r>
          </w:p>
        </w:tc>
      </w:tr>
      <w:tr>
        <w:trPr/>
        <w:tc>
          <w:tcPr>
            <w:tcW w:w="3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Разработчики инновационного проекта</w:t>
            </w:r>
          </w:p>
        </w:tc>
        <w:tc>
          <w:tcPr>
            <w:tcW w:w="111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>
            <w:pPr>
              <w:pStyle w:val="Style24"/>
              <w:widowControl w:val="false"/>
              <w:numPr>
                <w:ilvl w:val="0"/>
                <w:numId w:val="1"/>
              </w:numPr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ind w:left="33" w:right="0" w:hanging="33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Базанова Елена Александровна</w:t>
            </w: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, </w:t>
            </w:r>
            <w:r>
              <w:rPr>
                <w:rFonts w:cs="Times New Roman" w:ascii="Times New Roman" w:hAnsi="Times New Roman"/>
                <w:sz w:val="24"/>
                <w:szCs w:val="24"/>
              </w:rPr>
              <w:t>социальный педагог</w:t>
            </w:r>
            <w:r>
              <w:rPr>
                <w:rFonts w:cs="Times New Roman" w:ascii="Times New Roman" w:hAnsi="Times New Roman"/>
                <w:sz w:val="24"/>
                <w:szCs w:val="24"/>
              </w:rPr>
              <w:t>;</w:t>
            </w:r>
          </w:p>
          <w:p>
            <w:pPr>
              <w:pStyle w:val="Normal"/>
              <w:numPr>
                <w:ilvl w:val="0"/>
                <w:numId w:val="2"/>
              </w:numPr>
              <w:spacing w:lineRule="auto" w:line="240" w:before="0" w:after="0"/>
              <w:ind w:left="-24" w:firstLine="2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Осипова Татьяна Евгеньевна  педагог-психолог, и.о. заведующей отдела семейного устройства детей-сирот и детей, оставшихся без попечения детей.      </w:t>
            </w:r>
          </w:p>
        </w:tc>
      </w:tr>
      <w:tr>
        <w:trPr/>
        <w:tc>
          <w:tcPr>
            <w:tcW w:w="3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Исполнители инновационного проекта</w:t>
            </w:r>
          </w:p>
        </w:tc>
        <w:tc>
          <w:tcPr>
            <w:tcW w:w="111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>
            <w:pPr>
              <w:pStyle w:val="Style24"/>
              <w:widowControl w:val="false"/>
              <w:numPr>
                <w:ilvl w:val="0"/>
                <w:numId w:val="3"/>
              </w:numPr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ind w:left="33" w:right="0" w:hang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Ландарь Анастасия Николаевна тьютор.</w:t>
            </w:r>
          </w:p>
          <w:p>
            <w:pPr>
              <w:pStyle w:val="Style24"/>
              <w:widowControl w:val="false"/>
              <w:numPr>
                <w:ilvl w:val="0"/>
                <w:numId w:val="3"/>
              </w:numPr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ind w:left="33" w:right="0" w:hanging="33"/>
              <w:contextualSpacing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Кондратьева Екатерина Анатольевна</w:t>
            </w: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, </w:t>
            </w:r>
            <w:r>
              <w:rPr>
                <w:rFonts w:cs="Times New Roman" w:ascii="Times New Roman" w:hAnsi="Times New Roman"/>
                <w:sz w:val="24"/>
                <w:szCs w:val="24"/>
              </w:rPr>
              <w:t>тьютор</w:t>
            </w:r>
          </w:p>
          <w:p>
            <w:pPr>
              <w:pStyle w:val="Normal"/>
              <w:numPr>
                <w:ilvl w:val="0"/>
                <w:numId w:val="2"/>
              </w:numPr>
              <w:spacing w:lineRule="auto" w:line="240" w:before="0" w:after="0"/>
              <w:ind w:left="0" w:hanging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Анкудинова Ирина Александровна</w:t>
            </w: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, </w:t>
            </w:r>
            <w:r>
              <w:rPr>
                <w:rFonts w:cs="Times New Roman" w:ascii="Times New Roman" w:hAnsi="Times New Roman"/>
                <w:sz w:val="24"/>
                <w:szCs w:val="24"/>
              </w:rPr>
              <w:t>социальный педагог</w:t>
            </w:r>
            <w:r>
              <w:rPr>
                <w:rFonts w:cs="Times New Roman" w:ascii="Times New Roman" w:hAnsi="Times New Roman"/>
                <w:sz w:val="24"/>
                <w:szCs w:val="24"/>
              </w:rPr>
              <w:t>.</w:t>
            </w:r>
          </w:p>
        </w:tc>
      </w:tr>
      <w:tr>
        <w:trPr/>
        <w:tc>
          <w:tcPr>
            <w:tcW w:w="3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База реализации инновационного проекта</w:t>
            </w:r>
          </w:p>
        </w:tc>
        <w:tc>
          <w:tcPr>
            <w:tcW w:w="111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МКУ «Центр содействия семейному устройству детей «Радуга» Юргинского городского округа</w:t>
            </w:r>
          </w:p>
        </w:tc>
      </w:tr>
      <w:tr>
        <w:trPr/>
        <w:tc>
          <w:tcPr>
            <w:tcW w:w="3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Цели и задачи</w:t>
            </w:r>
          </w:p>
        </w:tc>
        <w:tc>
          <w:tcPr>
            <w:tcW w:w="111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>
            <w:pPr>
              <w:pStyle w:val="Normal"/>
              <w:spacing w:lineRule="auto" w:line="240" w:before="0" w:after="0"/>
              <w:jc w:val="both"/>
              <w:rPr/>
            </w:pPr>
            <w:r>
              <w:rPr>
                <w:rFonts w:cs="Times New Roman" w:ascii="Times New Roman" w:hAnsi="Times New Roman"/>
                <w:b/>
                <w:bCs/>
                <w:sz w:val="24"/>
                <w:szCs w:val="24"/>
              </w:rPr>
              <w:t>Цель </w:t>
            </w:r>
            <w:r>
              <w:rPr>
                <w:rFonts w:cs="Times New Roman" w:ascii="Times New Roman" w:hAnsi="Times New Roman"/>
                <w:sz w:val="24"/>
                <w:szCs w:val="24"/>
              </w:rPr>
              <w:t>- разработать, теоретически обосновать и  внедрить модель деятельности организации для детей-сирот и детей, оставшихся без попечения родителей, по выявлению несовершеннолетних граждан, нуждающихся в установлении над ними опеки и попечительства</w:t>
            </w:r>
            <w:r>
              <w:rPr>
                <w:rFonts w:cs="Times New Roman" w:ascii="Times New Roman" w:hAnsi="Times New Roman"/>
                <w:bCs/>
                <w:sz w:val="24"/>
                <w:szCs w:val="24"/>
              </w:rPr>
              <w:t>.</w:t>
            </w:r>
          </w:p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bCs/>
                <w:sz w:val="24"/>
                <w:szCs w:val="24"/>
              </w:rPr>
              <w:t>Задачи:</w:t>
            </w:r>
          </w:p>
          <w:p>
            <w:pPr>
              <w:pStyle w:val="Normal"/>
              <w:spacing w:lineRule="auto" w:line="240" w:before="0" w:after="0"/>
              <w:jc w:val="both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1. Изучить нормативные основы и проанализировать российский опыт деятельности организации для детей-сирот и детей, оставшихся без попечения родителей, по выявлению несовершеннолетних граждан, нуждающихся в установлении над ними опеки и попечительства.</w:t>
            </w:r>
          </w:p>
          <w:p>
            <w:pPr>
              <w:pStyle w:val="Normal"/>
              <w:spacing w:lineRule="auto" w:line="240" w:before="0" w:after="0"/>
              <w:jc w:val="both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2. Теоретически обосновать и апробировать модель деятельности организации для детей-сирот и детей, оставшихся без попечения родителей, по выявлению несовершеннолетних граждан, нуждающихся в установлении над ними опеки и попечительства.</w:t>
            </w:r>
          </w:p>
          <w:p>
            <w:pPr>
              <w:pStyle w:val="Normal"/>
              <w:spacing w:lineRule="auto" w:line="240" w:before="0" w:after="0"/>
              <w:jc w:val="both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3. Организовать внутрифирменное профессиональное развитие педагогических работников учреждения по проблеме выявления несовершеннолетних граждан, нуждающихся в установлении над ними опеки и попечительства.</w:t>
            </w:r>
          </w:p>
          <w:p>
            <w:pPr>
              <w:pStyle w:val="Normal"/>
              <w:spacing w:lineRule="auto" w:line="240" w:before="0" w:after="0"/>
              <w:jc w:val="both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4. Транслировать опыт деятельности организации для детей-сирот и детей, оставшихся без попечения родителей, по выявлению несовершеннолетних граждан, нуждающихся в установлении над ними опеки и попечительства.</w:t>
            </w:r>
          </w:p>
          <w:p>
            <w:pPr>
              <w:pStyle w:val="Normal"/>
              <w:spacing w:lineRule="auto" w:line="240" w:before="0" w:after="0"/>
              <w:jc w:val="both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5. Разработать методические материалы специалистам организаций для детей сирот и детей, оставшихся без попечения родителей по проблеме выявления несовершеннолетних граждан, нуждающихся в установлении над ними опеки и попечительства.</w:t>
            </w:r>
          </w:p>
        </w:tc>
      </w:tr>
      <w:tr>
        <w:trPr/>
        <w:tc>
          <w:tcPr>
            <w:tcW w:w="3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Этапы реализации инновационного проекта</w:t>
            </w:r>
          </w:p>
        </w:tc>
        <w:tc>
          <w:tcPr>
            <w:tcW w:w="111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b/>
                <w:sz w:val="24"/>
                <w:szCs w:val="24"/>
                <w:lang w:val="en-US"/>
              </w:rPr>
              <w:t>I</w:t>
            </w: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 xml:space="preserve"> Подготовительный (2021-2022гг.)</w:t>
            </w:r>
          </w:p>
          <w:p>
            <w:pPr>
              <w:pStyle w:val="Normal"/>
              <w:numPr>
                <w:ilvl w:val="0"/>
                <w:numId w:val="4"/>
              </w:numPr>
              <w:spacing w:lineRule="auto" w:line="240" w:before="0" w:after="0"/>
              <w:ind w:left="0" w:hanging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Изучить нормативные основы и  проанализировать российский опыт деятельности организации для детей-сирот и детей, оставшихся без попечения родителей, по выявлению несовершеннолетних граждан, нуждающихся в установлении над ними опеки и попечительства.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pacing w:lineRule="auto" w:line="240" w:before="0" w:after="0"/>
              <w:jc w:val="both"/>
              <w:rPr/>
            </w:pPr>
            <w:r>
              <w:rPr>
                <w:rFonts w:cs="Times New Roman" w:ascii="Times New Roman" w:hAnsi="Times New Roman"/>
                <w:b/>
                <w:sz w:val="24"/>
                <w:szCs w:val="24"/>
                <w:lang w:val="en-US"/>
              </w:rPr>
              <w:t>II</w:t>
            </w: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 xml:space="preserve"> Практический </w:t>
            </w:r>
            <w:r>
              <w:rPr>
                <w:rFonts w:cs="Times New Roman" w:ascii="Times New Roman" w:hAnsi="Times New Roman"/>
                <w:b/>
                <w:bCs/>
                <w:sz w:val="24"/>
                <w:szCs w:val="24"/>
              </w:rPr>
              <w:t>(2022-2023 гг.)</w:t>
            </w:r>
          </w:p>
          <w:p>
            <w:pPr>
              <w:pStyle w:val="Normal"/>
              <w:widowControl w:val="false"/>
              <w:numPr>
                <w:ilvl w:val="0"/>
                <w:numId w:val="4"/>
              </w:numPr>
              <w:tabs>
                <w:tab w:val="clear" w:pos="708"/>
                <w:tab w:val="left" w:pos="1134" w:leader="none"/>
              </w:tabs>
              <w:spacing w:lineRule="auto" w:line="240" w:before="0" w:after="0"/>
              <w:ind w:left="0" w:hanging="0"/>
              <w:jc w:val="both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Теоретически обосновать и апробировать модель деятельности организации для детей-сирот и детей, оставшихся без попечения родителей, по выявлению несовершеннолетних граждан, нуждающихся в установлении над ними опеки и попечительства..</w:t>
            </w:r>
          </w:p>
          <w:p>
            <w:pPr>
              <w:pStyle w:val="Normal"/>
              <w:numPr>
                <w:ilvl w:val="0"/>
                <w:numId w:val="4"/>
              </w:numPr>
              <w:spacing w:lineRule="auto" w:line="240" w:before="0" w:after="0"/>
              <w:ind w:left="0" w:hanging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Организовать внутрифирменное профессиональное развитие педагогических работников учреждения по проблеме выявления несовершеннолетних граждан, нуждающихся в установлении над ними опеки и попечительства.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pacing w:lineRule="auto" w:line="240" w:before="0" w:after="0"/>
              <w:jc w:val="both"/>
              <w:rPr/>
            </w:pPr>
            <w:r>
              <w:rPr>
                <w:rFonts w:cs="Times New Roman" w:ascii="Times New Roman" w:hAnsi="Times New Roman"/>
                <w:b/>
                <w:sz w:val="24"/>
                <w:szCs w:val="24"/>
                <w:lang w:val="en-US"/>
              </w:rPr>
              <w:t>III</w:t>
            </w: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 xml:space="preserve"> Обобщающий (2023-2024 гг.)</w:t>
            </w:r>
          </w:p>
          <w:p>
            <w:pPr>
              <w:pStyle w:val="Normal"/>
              <w:numPr>
                <w:ilvl w:val="0"/>
                <w:numId w:val="5"/>
              </w:numPr>
              <w:spacing w:lineRule="auto" w:line="240" w:before="0" w:after="0"/>
              <w:ind w:left="0" w:hanging="0"/>
              <w:jc w:val="both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Транслировать опыт деятельности организации для детей-сирот и детей, оставшихся без попечения родителей, по выявлению несовершеннолетних граждан, нуждающихся в установлении над ними опеки и попечительства.</w:t>
            </w:r>
          </w:p>
          <w:p>
            <w:pPr>
              <w:pStyle w:val="Normal"/>
              <w:numPr>
                <w:ilvl w:val="0"/>
                <w:numId w:val="5"/>
              </w:numPr>
              <w:spacing w:lineRule="auto" w:line="240" w:before="0" w:after="0"/>
              <w:ind w:left="0" w:hanging="0"/>
              <w:jc w:val="both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Разработать методические материалы специалистам организаций для детей сирот и детей, оставшихся без попечения родителей по выявления несовершеннолетних граждан, нуждающихся в установлении над ними опеки и попечительства.</w:t>
            </w:r>
          </w:p>
        </w:tc>
      </w:tr>
      <w:tr>
        <w:trPr/>
        <w:tc>
          <w:tcPr>
            <w:tcW w:w="3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Сроки реализации инновационного проекта</w:t>
            </w:r>
          </w:p>
        </w:tc>
        <w:tc>
          <w:tcPr>
            <w:tcW w:w="111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>
            <w:pPr>
              <w:pStyle w:val="Normal"/>
              <w:spacing w:lineRule="auto" w:line="240" w:before="0" w:after="0"/>
              <w:jc w:val="both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2021-2024 гг.</w:t>
            </w:r>
          </w:p>
        </w:tc>
      </w:tr>
      <w:tr>
        <w:trPr/>
        <w:tc>
          <w:tcPr>
            <w:tcW w:w="3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Область изменения</w:t>
            </w:r>
          </w:p>
        </w:tc>
        <w:tc>
          <w:tcPr>
            <w:tcW w:w="111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Создание эффективных механизмов адаптации и социализации детей, нуждающихся в поддержке государства</w:t>
            </w:r>
          </w:p>
        </w:tc>
      </w:tr>
      <w:tr>
        <w:trPr/>
        <w:tc>
          <w:tcPr>
            <w:tcW w:w="3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Продукт деятельности региональной инновационной площадки</w:t>
            </w:r>
          </w:p>
        </w:tc>
        <w:tc>
          <w:tcPr>
            <w:tcW w:w="111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>
            <w:pPr>
              <w:pStyle w:val="Normal"/>
              <w:spacing w:lineRule="auto" w:line="240" w:before="0" w:after="0"/>
              <w:rPr/>
            </w:pPr>
            <w:bookmarkStart w:id="1" w:name="__DdeLink__837_3828695024"/>
            <w:bookmarkEnd w:id="1"/>
            <w:r>
              <w:rPr>
                <w:rFonts w:cs="Times New Roman" w:ascii="Times New Roman" w:hAnsi="Times New Roman"/>
                <w:sz w:val="24"/>
                <w:szCs w:val="24"/>
              </w:rPr>
              <w:t>Методический сборник специалистам организаций для детей-сирот и детей, оставшихся без попечения родителей, по выявлению несовершеннолетних граждан, нуждающихся в установлении над ними опеки и попечительства</w:t>
            </w:r>
          </w:p>
        </w:tc>
      </w:tr>
    </w:tbl>
    <w:p>
      <w:pPr>
        <w:pStyle w:val="Normal"/>
        <w:jc w:val="center"/>
        <w:rPr/>
      </w:pPr>
      <w:r>
        <w:rPr/>
      </w:r>
    </w:p>
    <w:p>
      <w:pPr>
        <w:pStyle w:val="Normal"/>
        <w:widowControl w:val="false"/>
        <w:suppressAutoHyphens w:val="false"/>
        <w:spacing w:lineRule="auto" w:line="360" w:before="0" w:after="0"/>
        <w:ind w:left="0" w:right="0" w:hanging="0"/>
        <w:jc w:val="both"/>
        <w:rPr>
          <w:rFonts w:ascii="Liberation Serif" w:hAnsi="Liberation Serif"/>
          <w:sz w:val="28"/>
          <w:szCs w:val="28"/>
        </w:rPr>
      </w:pPr>
      <w:r>
        <w:rPr>
          <w:color w:val="000000"/>
        </w:rPr>
      </w:r>
    </w:p>
    <w:sectPr>
      <w:type w:val="nextPage"/>
      <w:pgSz w:orient="landscape" w:w="16838" w:h="11906"/>
      <w:pgMar w:left="1701" w:right="850" w:gutter="0" w:header="0" w:top="567" w:footer="0" w:bottom="567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Liberation Serif">
    <w:altName w:val="Times New Roman"/>
    <w:charset w:val="01"/>
    <w:family w:val="swiss"/>
    <w:pitch w:val="variable"/>
  </w:font>
  <w:font w:name="OpenSymbol">
    <w:altName w:val="Arial Unicode MS"/>
    <w:charset w:val="01"/>
    <w:family w:val="roman"/>
    <w:pitch w:val="variable"/>
  </w:font>
  <w:font w:name="Courier New">
    <w:charset w:val="cc"/>
    <w:family w:val="modern"/>
    <w:pitch w:val="default"/>
  </w:font>
  <w:font w:name="Wingdings">
    <w:charset w:val="02"/>
    <w:family w:val="auto"/>
    <w:pitch w:val="variable"/>
  </w:font>
  <w:font w:name="Liberation Sans">
    <w:altName w:val="Arial"/>
    <w:charset w:val="01"/>
    <w:family w:val="roman"/>
    <w:pitch w:val="variable"/>
  </w:font>
  <w:font w:name="Courier New">
    <w:charset w:val="01"/>
    <w:family w:val="roman"/>
    <w:pitch w:val="variable"/>
  </w:font>
  <w:font w:name="Droid Sans Fallback">
    <w:charset w:val="01"/>
    <w:family w:val="roman"/>
    <w:pitch w:val="variable"/>
  </w:font>
  <w:font w:name="Arial">
    <w:charset w:val="01"/>
    <w:family w:val="roman"/>
    <w:pitch w:val="variable"/>
  </w:font>
  <w:font w:name="Times New Roman">
    <w:charset w:val="cc"/>
    <w:family w:val="roman"/>
    <w:pitch w:val="variable"/>
  </w:font>
  <w:font w:name="Courier New">
    <w:charset w:val="cc"/>
    <w:family w:val="modern"/>
    <w:pitch w:val="fixed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suff w:val="space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bullet"/>
      <w:suff w:val="space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3">
    <w:lvl w:ilvl="0">
      <w:start w:val="1"/>
      <w:numFmt w:val="bullet"/>
      <w:suff w:val="space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lvl w:ilvl="0">
      <w:start w:val="1"/>
      <w:numFmt w:val="bullet"/>
      <w:suff w:val="space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5">
    <w:lvl w:ilvl="0">
      <w:start w:val="1"/>
      <w:numFmt w:val="bullet"/>
      <w:suff w:val="space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6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cc62bf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Times New Roman" w:cs="Times New Roman" w:asciiTheme="minorHAnsi" w:hAnsiTheme="minorHAnsi"/>
      <w:color w:val="auto"/>
      <w:kern w:val="0"/>
      <w:sz w:val="22"/>
      <w:szCs w:val="22"/>
      <w:lang w:val="ru-RU" w:eastAsia="ru-RU" w:bidi="ar-SA"/>
    </w:rPr>
  </w:style>
  <w:style w:type="paragraph" w:styleId="5">
    <w:name w:val="Heading 5"/>
    <w:basedOn w:val="Style17"/>
    <w:next w:val="Style18"/>
    <w:qFormat/>
    <w:pPr>
      <w:spacing w:before="120" w:after="60"/>
      <w:outlineLvl w:val="4"/>
    </w:pPr>
    <w:rPr>
      <w:rFonts w:ascii="Liberation Serif" w:hAnsi="Liberation Serif" w:eastAsia="DejaVu Sans" w:cs="DejaVu Sans"/>
      <w:b/>
      <w:bCs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3">
    <w:name w:val="Символ нумерации"/>
    <w:qFormat/>
    <w:rPr>
      <w:b w:val="false"/>
      <w:bCs w:val="false"/>
    </w:rPr>
  </w:style>
  <w:style w:type="character" w:styleId="Style14">
    <w:name w:val="Интернет-ссылка"/>
    <w:rPr>
      <w:color w:val="000080"/>
      <w:u w:val="single"/>
      <w:lang w:val="zxx" w:eastAsia="zxx" w:bidi="zxx"/>
    </w:rPr>
  </w:style>
  <w:style w:type="character" w:styleId="Style15">
    <w:name w:val="Маркеры"/>
    <w:qFormat/>
    <w:rPr>
      <w:rFonts w:ascii="OpenSymbol" w:hAnsi="OpenSymbol" w:eastAsia="OpenSymbol" w:cs="OpenSymbol"/>
    </w:rPr>
  </w:style>
  <w:style w:type="character" w:styleId="Style16">
    <w:name w:val="Выделение жирным"/>
    <w:qFormat/>
    <w:rPr>
      <w:b/>
      <w:bCs/>
    </w:rPr>
  </w:style>
  <w:style w:type="character" w:styleId="WW8Num12z0">
    <w:name w:val="WW8Num12z0"/>
    <w:qFormat/>
    <w:rPr>
      <w:rFonts w:ascii="Symbol" w:hAnsi="Symbol" w:cs="Symbol"/>
    </w:rPr>
  </w:style>
  <w:style w:type="character" w:styleId="WW8Num12z1">
    <w:name w:val="WW8Num12z1"/>
    <w:qFormat/>
    <w:rPr>
      <w:rFonts w:ascii="Courier New" w:hAnsi="Courier New" w:cs="Courier New"/>
    </w:rPr>
  </w:style>
  <w:style w:type="character" w:styleId="WW8Num12z2">
    <w:name w:val="WW8Num12z2"/>
    <w:qFormat/>
    <w:rPr>
      <w:rFonts w:ascii="Wingdings" w:hAnsi="Wingdings" w:cs="Wingdings"/>
    </w:rPr>
  </w:style>
  <w:style w:type="character" w:styleId="WW8Num7z0">
    <w:name w:val="WW8Num7z0"/>
    <w:qFormat/>
    <w:rPr>
      <w:rFonts w:ascii="Symbol" w:hAnsi="Symbol" w:cs="Symbol"/>
    </w:rPr>
  </w:style>
  <w:style w:type="character" w:styleId="WW8Num7z1">
    <w:name w:val="WW8Num7z1"/>
    <w:qFormat/>
    <w:rPr>
      <w:rFonts w:ascii="Courier New" w:hAnsi="Courier New" w:cs="Courier New"/>
    </w:rPr>
  </w:style>
  <w:style w:type="character" w:styleId="WW8Num7z2">
    <w:name w:val="WW8Num7z2"/>
    <w:qFormat/>
    <w:rPr>
      <w:rFonts w:ascii="Wingdings" w:hAnsi="Wingdings" w:cs="Wingdings"/>
    </w:rPr>
  </w:style>
  <w:style w:type="character" w:styleId="WW8Num8z0">
    <w:name w:val="WW8Num8z0"/>
    <w:qFormat/>
    <w:rPr>
      <w:rFonts w:ascii="Symbol" w:hAnsi="Symbol" w:cs="Symbol"/>
    </w:rPr>
  </w:style>
  <w:style w:type="character" w:styleId="WW8Num8z1">
    <w:name w:val="WW8Num8z1"/>
    <w:qFormat/>
    <w:rPr>
      <w:rFonts w:ascii="Courier New" w:hAnsi="Courier New" w:cs="Courier New"/>
    </w:rPr>
  </w:style>
  <w:style w:type="character" w:styleId="WW8Num8z2">
    <w:name w:val="WW8Num8z2"/>
    <w:qFormat/>
    <w:rPr>
      <w:rFonts w:ascii="Wingdings" w:hAnsi="Wingdings" w:cs="Wingdings"/>
    </w:rPr>
  </w:style>
  <w:style w:type="character" w:styleId="WW8Num11z0">
    <w:name w:val="WW8Num11z0"/>
    <w:qFormat/>
    <w:rPr>
      <w:rFonts w:ascii="Symbol" w:hAnsi="Symbol" w:cs="Symbol"/>
    </w:rPr>
  </w:style>
  <w:style w:type="character" w:styleId="WW8Num11z1">
    <w:name w:val="WW8Num11z1"/>
    <w:qFormat/>
    <w:rPr>
      <w:rFonts w:ascii="Courier New" w:hAnsi="Courier New" w:cs="Courier New"/>
    </w:rPr>
  </w:style>
  <w:style w:type="character" w:styleId="WW8Num11z2">
    <w:name w:val="WW8Num11z2"/>
    <w:qFormat/>
    <w:rPr>
      <w:rFonts w:ascii="Wingdings" w:hAnsi="Wingdings" w:cs="Wingdings"/>
    </w:rPr>
  </w:style>
  <w:style w:type="character" w:styleId="WW8Num4z0">
    <w:name w:val="WW8Num4z0"/>
    <w:qFormat/>
    <w:rPr>
      <w:rFonts w:ascii="Symbol" w:hAnsi="Symbol" w:cs="Symbol"/>
    </w:rPr>
  </w:style>
  <w:style w:type="character" w:styleId="WW8Num4z1">
    <w:name w:val="WW8Num4z1"/>
    <w:qFormat/>
    <w:rPr>
      <w:rFonts w:ascii="Courier New" w:hAnsi="Courier New" w:cs="Courier New"/>
    </w:rPr>
  </w:style>
  <w:style w:type="character" w:styleId="WW8Num4z2">
    <w:name w:val="WW8Num4z2"/>
    <w:qFormat/>
    <w:rPr>
      <w:rFonts w:ascii="Wingdings" w:hAnsi="Wingdings" w:cs="Wingdings"/>
    </w:rPr>
  </w:style>
  <w:style w:type="paragraph" w:styleId="Style17">
    <w:name w:val="Заголовок"/>
    <w:basedOn w:val="Normal"/>
    <w:next w:val="Style18"/>
    <w:qFormat/>
    <w:pPr>
      <w:keepNext w:val="true"/>
      <w:spacing w:before="240" w:after="120"/>
    </w:pPr>
    <w:rPr>
      <w:rFonts w:ascii="Liberation Sans" w:hAnsi="Liberation Sans" w:eastAsia="Noto Sans CJK SC" w:cs="FreeSans"/>
      <w:sz w:val="28"/>
      <w:szCs w:val="28"/>
    </w:rPr>
  </w:style>
  <w:style w:type="paragraph" w:styleId="Style18">
    <w:name w:val="Body Text"/>
    <w:basedOn w:val="Normal"/>
    <w:pPr>
      <w:spacing w:lineRule="auto" w:line="276" w:before="0" w:after="140"/>
    </w:pPr>
    <w:rPr/>
  </w:style>
  <w:style w:type="paragraph" w:styleId="Style19">
    <w:name w:val="List"/>
    <w:basedOn w:val="Style18"/>
    <w:pPr/>
    <w:rPr>
      <w:rFonts w:cs="FreeSans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FreeSans"/>
    </w:rPr>
  </w:style>
  <w:style w:type="paragraph" w:styleId="Style22">
    <w:name w:val="Содержимое таблицы"/>
    <w:basedOn w:val="Normal"/>
    <w:qFormat/>
    <w:pPr>
      <w:widowControl w:val="false"/>
      <w:suppressLineNumbers/>
    </w:pPr>
    <w:rPr/>
  </w:style>
  <w:style w:type="paragraph" w:styleId="ConsPlusNonformat">
    <w:name w:val="ConsPlusNonformat"/>
    <w:qFormat/>
    <w:pPr>
      <w:widowControl w:val="false"/>
      <w:suppressAutoHyphens w:val="true"/>
      <w:bidi w:val="0"/>
      <w:spacing w:before="0" w:after="0"/>
      <w:ind w:hanging="0"/>
      <w:jc w:val="left"/>
    </w:pPr>
    <w:rPr>
      <w:rFonts w:ascii="Courier New" w:hAnsi="Courier New" w:eastAsia="Times New Roman" w:cs="Courier New"/>
      <w:color w:val="auto"/>
      <w:kern w:val="2"/>
      <w:sz w:val="20"/>
      <w:szCs w:val="20"/>
      <w:lang w:val="ru-RU" w:eastAsia="zh-CN" w:bidi="ar-SA"/>
    </w:rPr>
  </w:style>
  <w:style w:type="paragraph" w:styleId="Style23">
    <w:name w:val="???????"/>
    <w:qFormat/>
    <w:pPr>
      <w:widowControl/>
      <w:tabs>
        <w:tab w:val="clear" w:pos="708"/>
        <w:tab w:val="left" w:pos="0" w:leader="none"/>
        <w:tab w:val="left" w:pos="707" w:leader="none"/>
        <w:tab w:val="left" w:pos="1414" w:leader="none"/>
        <w:tab w:val="left" w:pos="2122" w:leader="none"/>
        <w:tab w:val="left" w:pos="2830" w:leader="none"/>
        <w:tab w:val="left" w:pos="3537" w:leader="none"/>
        <w:tab w:val="left" w:pos="4245" w:leader="none"/>
        <w:tab w:val="left" w:pos="4952" w:leader="none"/>
        <w:tab w:val="left" w:pos="5660" w:leader="none"/>
        <w:tab w:val="left" w:pos="6367" w:leader="none"/>
        <w:tab w:val="left" w:pos="7075" w:leader="none"/>
        <w:tab w:val="left" w:pos="7782" w:leader="none"/>
        <w:tab w:val="left" w:pos="8490" w:leader="none"/>
        <w:tab w:val="left" w:pos="9197" w:leader="none"/>
        <w:tab w:val="left" w:pos="9905" w:leader="none"/>
        <w:tab w:val="left" w:pos="10612" w:leader="none"/>
        <w:tab w:val="left" w:pos="11320" w:leader="none"/>
        <w:tab w:val="left" w:pos="12027" w:leader="none"/>
        <w:tab w:val="left" w:pos="12735" w:leader="none"/>
        <w:tab w:val="left" w:pos="13442" w:leader="none"/>
        <w:tab w:val="left" w:pos="14150" w:leader="none"/>
      </w:tabs>
      <w:suppressAutoHyphens w:val="true"/>
      <w:bidi w:val="0"/>
      <w:spacing w:before="0" w:after="0"/>
      <w:ind w:hanging="0"/>
      <w:jc w:val="left"/>
    </w:pPr>
    <w:rPr>
      <w:rFonts w:ascii="Droid Sans Fallback" w:hAnsi="Droid Sans Fallback" w:eastAsia="DejaVu Sans" w:cs="Liberation Sans"/>
      <w:color w:val="FFFFFF"/>
      <w:kern w:val="2"/>
      <w:sz w:val="36"/>
      <w:szCs w:val="24"/>
      <w:lang w:val="ru-RU" w:eastAsia="zh-CN" w:bidi="hi-IN"/>
    </w:rPr>
  </w:style>
  <w:style w:type="paragraph" w:styleId="ConsPlusNormal">
    <w:name w:val="ConsPlusNormal"/>
    <w:qFormat/>
    <w:pPr>
      <w:widowControl w:val="false"/>
      <w:suppressAutoHyphens w:val="true"/>
      <w:bidi w:val="0"/>
      <w:spacing w:before="0" w:after="0"/>
      <w:ind w:hanging="0"/>
      <w:jc w:val="left"/>
    </w:pPr>
    <w:rPr>
      <w:rFonts w:ascii="Arial" w:hAnsi="Arial" w:eastAsia="Times New Roman" w:cs="Arial"/>
      <w:color w:val="auto"/>
      <w:kern w:val="2"/>
      <w:sz w:val="20"/>
      <w:szCs w:val="20"/>
      <w:lang w:val="ru-RU" w:eastAsia="zh-CN" w:bidi="ar-SA"/>
    </w:rPr>
  </w:style>
  <w:style w:type="paragraph" w:styleId="1">
    <w:name w:val="Абзац списка1"/>
    <w:basedOn w:val="Normal"/>
    <w:qFormat/>
    <w:pPr>
      <w:spacing w:lineRule="auto" w:line="240" w:before="0" w:after="0"/>
      <w:ind w:left="720" w:hanging="0"/>
      <w:contextualSpacing/>
    </w:pPr>
    <w:rPr>
      <w:rFonts w:ascii="Liberation Serif" w:hAnsi="Liberation Serif" w:eastAsia="Times New Roman" w:cs="Times New Roman"/>
      <w:kern w:val="2"/>
      <w:sz w:val="24"/>
      <w:szCs w:val="24"/>
      <w:lang w:eastAsia="ru-RU"/>
    </w:rPr>
  </w:style>
  <w:style w:type="paragraph" w:styleId="Style24">
    <w:name w:val="Абзац списка"/>
    <w:basedOn w:val="Normal"/>
    <w:qFormat/>
    <w:pPr>
      <w:suppressAutoHyphens w:val="false"/>
      <w:ind w:left="720" w:right="0" w:hanging="0"/>
    </w:pPr>
    <w:rPr>
      <w:rFonts w:cs="Calibri"/>
      <w:color w:val="000000"/>
      <w:kern w:val="2"/>
    </w:rPr>
  </w:style>
  <w:style w:type="numbering" w:styleId="NoList" w:default="1">
    <w:name w:val="No List"/>
    <w:uiPriority w:val="99"/>
    <w:semiHidden/>
    <w:unhideWhenUsed/>
    <w:qFormat/>
  </w:style>
  <w:style w:type="numbering" w:styleId="WW8Num12">
    <w:name w:val="WW8Num12"/>
    <w:qFormat/>
  </w:style>
  <w:style w:type="numbering" w:styleId="WW8Num7">
    <w:name w:val="WW8Num7"/>
    <w:qFormat/>
  </w:style>
  <w:style w:type="numbering" w:styleId="WW8Num8">
    <w:name w:val="WW8Num8"/>
    <w:qFormat/>
  </w:style>
  <w:style w:type="numbering" w:styleId="WW8Num11">
    <w:name w:val="WW8Num11"/>
    <w:qFormat/>
  </w:style>
  <w:style w:type="numbering" w:styleId="WW8Num4">
    <w:name w:val="WW8Num4"/>
    <w:qFormat/>
  </w:style>
  <w:style w:type="table" w:default="1" w:styleId="a1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0B30E0D-126A-41F5-A53A-C5EE670725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562</TotalTime>
  <Application>LibreOffice/7.3.2.2$Linux_X86_64 LibreOffice_project/454130fadb9a820d3728b86ccb63c8f359d70528</Application>
  <AppVersion>15.0000</AppVersion>
  <Pages>2</Pages>
  <Words>465</Words>
  <Characters>3581</Characters>
  <CharactersWithSpaces>4008</CharactersWithSpaces>
  <Paragraphs>37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2020-07-30T05:37:00Z</dcterms:created>
  <dc:creator>Игорь Базанов</dc:creator>
  <dc:description/>
  <dc:language>ru-RU</dc:language>
  <cp:lastModifiedBy/>
  <dcterms:modified xsi:type="dcterms:W3CDTF">2022-04-04T13:11:46Z</dcterms:modified>
  <cp:revision>47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